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07E" w:rsidRDefault="00F8407E" w:rsidP="00F8407E">
      <w:pPr>
        <w:shd w:val="clear" w:color="auto" w:fill="FFFFFF"/>
        <w:spacing w:before="0" w:after="0" w:line="375" w:lineRule="atLeast"/>
        <w:ind w:firstLine="0"/>
        <w:jc w:val="center"/>
        <w:outlineLvl w:val="1"/>
        <w:rPr>
          <w:rFonts w:ascii="Times New Roman" w:hAnsi="Times New Roman" w:cs="Times New Roman"/>
          <w:b/>
          <w:color w:val="222222"/>
          <w:sz w:val="48"/>
          <w:szCs w:val="48"/>
          <w:shd w:val="clear" w:color="auto" w:fill="FFFFFF"/>
        </w:rPr>
      </w:pPr>
      <w:r w:rsidRPr="00F8407E">
        <w:rPr>
          <w:rFonts w:ascii="Times New Roman" w:hAnsi="Times New Roman" w:cs="Times New Roman"/>
          <w:b/>
          <w:color w:val="222222"/>
          <w:sz w:val="48"/>
          <w:szCs w:val="48"/>
          <w:shd w:val="clear" w:color="auto" w:fill="FFFFFF"/>
        </w:rPr>
        <w:t xml:space="preserve">một số chính sách mới có hiệu lực </w:t>
      </w:r>
    </w:p>
    <w:p w:rsidR="00F8407E" w:rsidRPr="00F8407E" w:rsidRDefault="00F8407E" w:rsidP="00F8407E">
      <w:pPr>
        <w:shd w:val="clear" w:color="auto" w:fill="FFFFFF"/>
        <w:spacing w:before="0" w:after="0" w:line="375" w:lineRule="atLeast"/>
        <w:ind w:firstLine="0"/>
        <w:jc w:val="center"/>
        <w:outlineLvl w:val="1"/>
        <w:rPr>
          <w:rFonts w:ascii="Times New Roman" w:eastAsia="Times New Roman" w:hAnsi="Times New Roman" w:cs="Times New Roman"/>
          <w:b/>
          <w:bCs/>
          <w:color w:val="222222"/>
          <w:sz w:val="48"/>
          <w:szCs w:val="48"/>
        </w:rPr>
      </w:pPr>
      <w:r w:rsidRPr="00F8407E">
        <w:rPr>
          <w:rFonts w:ascii="Times New Roman" w:hAnsi="Times New Roman" w:cs="Times New Roman"/>
          <w:b/>
          <w:color w:val="222222"/>
          <w:sz w:val="48"/>
          <w:szCs w:val="48"/>
          <w:shd w:val="clear" w:color="auto" w:fill="FFFFFF"/>
        </w:rPr>
        <w:t>tháng 01/2021</w:t>
      </w:r>
    </w:p>
    <w:p w:rsidR="00F8407E" w:rsidRPr="00F8407E" w:rsidRDefault="00F8407E" w:rsidP="00F8407E">
      <w:pPr>
        <w:shd w:val="clear" w:color="auto" w:fill="FFFFFF"/>
        <w:spacing w:before="0" w:after="0" w:line="375" w:lineRule="atLeast"/>
        <w:ind w:firstLine="0"/>
        <w:jc w:val="left"/>
        <w:outlineLvl w:val="1"/>
        <w:rPr>
          <w:rFonts w:ascii="Times New Roman" w:eastAsia="Times New Roman" w:hAnsi="Times New Roman" w:cs="Times New Roman"/>
          <w:b/>
          <w:bCs/>
          <w:color w:val="222222"/>
          <w:sz w:val="28"/>
          <w:szCs w:val="28"/>
        </w:rPr>
      </w:pPr>
      <w:r w:rsidRPr="00F8407E">
        <w:rPr>
          <w:rFonts w:ascii="Times New Roman" w:eastAsia="Times New Roman" w:hAnsi="Times New Roman" w:cs="Times New Roman"/>
          <w:b/>
          <w:bCs/>
          <w:color w:val="222222"/>
          <w:sz w:val="28"/>
          <w:szCs w:val="28"/>
        </w:rPr>
        <w:t>1. Tăng tuổi nghỉ hưu của người lao động từ 2021</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Đây là một trong những nội dung nổi bật tại </w:t>
      </w:r>
      <w:hyperlink r:id="rId5" w:history="1">
        <w:r w:rsidRPr="00F8407E">
          <w:rPr>
            <w:rFonts w:ascii="Times New Roman" w:eastAsia="Times New Roman" w:hAnsi="Times New Roman" w:cs="Times New Roman"/>
            <w:color w:val="A67942"/>
            <w:sz w:val="28"/>
            <w:szCs w:val="28"/>
            <w:u w:val="single"/>
          </w:rPr>
          <w:t>Bộ luật Lao động năm 2019</w:t>
        </w:r>
      </w:hyperlink>
      <w:r w:rsidRPr="00F8407E">
        <w:rPr>
          <w:rFonts w:ascii="Times New Roman" w:eastAsia="Times New Roman" w:hAnsi="Times New Roman" w:cs="Times New Roman"/>
          <w:color w:val="222222"/>
          <w:sz w:val="28"/>
          <w:szCs w:val="28"/>
        </w:rPr>
        <w:t>, có hiệu lực từ ngày 01/01/2021.</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Theo đó, tuổi nghỉ hưu của người lao động được quy định tại Điều 169 Bộ luật Lao động như sau:</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 Năm 2021, tuổi nghỉ hưu trong điều kiện bình thường với lao động nam là đủ 60 tuổi 03 tháng, với lao động nữ là đủ 55 tuổi 04 tháng.</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 Sau đó, cứ mỗi năm tăng thêm 03 tháng đối với lao động nam cho đến khi đủ 62 tuổi vào năm 2028 và cứ mỗi năm tăng thêm 04 tháng đối với lao động nữ cho đến khi đủ 60 tuổi vào năm 2035.</w:t>
      </w:r>
    </w:p>
    <w:p w:rsidR="00F8407E" w:rsidRPr="00F8407E" w:rsidRDefault="00F8407E" w:rsidP="00F8407E">
      <w:pPr>
        <w:shd w:val="clear" w:color="auto" w:fill="FFFFFF"/>
        <w:spacing w:before="0" w:after="0" w:line="375" w:lineRule="atLeast"/>
        <w:ind w:firstLine="0"/>
        <w:jc w:val="left"/>
        <w:outlineLvl w:val="1"/>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 xml:space="preserve">* </w:t>
      </w:r>
      <w:r w:rsidRPr="00F8407E">
        <w:rPr>
          <w:rFonts w:ascii="Times New Roman" w:eastAsia="Times New Roman" w:hAnsi="Times New Roman" w:cs="Times New Roman"/>
          <w:b/>
          <w:bCs/>
          <w:color w:val="222222"/>
          <w:sz w:val="28"/>
          <w:szCs w:val="28"/>
        </w:rPr>
        <w:t>3 trường hợp xây nhà ở riêng lẻ được miễn giấy phép</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hyperlink r:id="rId6" w:history="1">
        <w:r w:rsidRPr="00F8407E">
          <w:rPr>
            <w:rFonts w:ascii="Times New Roman" w:eastAsia="Times New Roman" w:hAnsi="Times New Roman" w:cs="Times New Roman"/>
            <w:color w:val="A67942"/>
            <w:sz w:val="28"/>
            <w:szCs w:val="28"/>
            <w:u w:val="single"/>
          </w:rPr>
          <w:t>Luật Xây dựng sửa đổi năm 2020</w:t>
        </w:r>
      </w:hyperlink>
      <w:r w:rsidRPr="00F8407E">
        <w:rPr>
          <w:rFonts w:ascii="Times New Roman" w:eastAsia="Times New Roman" w:hAnsi="Times New Roman" w:cs="Times New Roman"/>
          <w:color w:val="222222"/>
          <w:sz w:val="28"/>
          <w:szCs w:val="28"/>
        </w:rPr>
        <w:t>, có hiệu lực ngày 01/01/2021 đã bổ sung trường hợp được miễn giấy phép xây dựng với nhà ở riêng lẻ.</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Theo đó, </w:t>
      </w:r>
      <w:r w:rsidRPr="00F8407E">
        <w:rPr>
          <w:rFonts w:ascii="Times New Roman" w:eastAsia="Times New Roman" w:hAnsi="Times New Roman" w:cs="Times New Roman"/>
          <w:b/>
          <w:bCs/>
          <w:color w:val="222222"/>
          <w:sz w:val="28"/>
          <w:szCs w:val="28"/>
        </w:rPr>
        <w:t>03 trường hợp xây nhà ở riêng lẻ được miễn giấy phép</w:t>
      </w:r>
      <w:r w:rsidRPr="00F8407E">
        <w:rPr>
          <w:rFonts w:ascii="Times New Roman" w:eastAsia="Times New Roman" w:hAnsi="Times New Roman" w:cs="Times New Roman"/>
          <w:color w:val="222222"/>
          <w:sz w:val="28"/>
          <w:szCs w:val="28"/>
        </w:rPr>
        <w:t> bao gồm:</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 Nhà ở riêng lẻ có quy mô dưới 07 tầng thuộc dự án đầu tư xây dựng khu đô thị, dự án đầu tư xây dựng nhà ở có quy hoạch chi tiết 1/500 đã được cơ quan nhà nước có thẩm quyền phê duyệt.</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 Nhà ở riêng lẻ ở nông thôn có quy mô dưới 07 tầng và thuộc khu vực không có quy hoạch đô thị, quy hoạch xây dựng khu chức năng hoặc quy hoạch chi tiết xây dựng điểm dân cư nông thôn đã được cơ quan nhà nước có thẩm quyền phê duyệt.</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 Nhà ở riêng lẻ ở miền núi, hải đảo thuộc khu vực không có quy hoạch đô thị, quy hoạch xây dựng khu chức năng.</w:t>
      </w:r>
      <w:r w:rsidRPr="00F8407E">
        <w:rPr>
          <w:rFonts w:ascii="Times New Roman" w:eastAsia="Times New Roman" w:hAnsi="Times New Roman" w:cs="Times New Roman"/>
          <w:b/>
          <w:bCs/>
          <w:color w:val="222222"/>
          <w:sz w:val="28"/>
          <w:szCs w:val="28"/>
        </w:rPr>
        <w:br/>
      </w:r>
      <w:r>
        <w:rPr>
          <w:rFonts w:ascii="Times New Roman" w:eastAsia="Times New Roman" w:hAnsi="Times New Roman" w:cs="Times New Roman"/>
          <w:b/>
          <w:bCs/>
          <w:color w:val="222222"/>
          <w:sz w:val="28"/>
          <w:szCs w:val="28"/>
        </w:rPr>
        <w:t>3</w:t>
      </w:r>
      <w:r w:rsidRPr="00F8407E">
        <w:rPr>
          <w:rFonts w:ascii="Times New Roman" w:eastAsia="Times New Roman" w:hAnsi="Times New Roman" w:cs="Times New Roman"/>
          <w:b/>
          <w:bCs/>
          <w:color w:val="222222"/>
          <w:sz w:val="28"/>
          <w:szCs w:val="28"/>
        </w:rPr>
        <w:t>. Không phải thông báo mẫu dấu doanh nghiệp trước khi sử dụng</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Theo quy định cũ tại khoản 2 </w:t>
      </w:r>
      <w:hyperlink r:id="rId7" w:history="1">
        <w:r w:rsidRPr="00F8407E">
          <w:rPr>
            <w:rFonts w:ascii="Times New Roman" w:eastAsia="Times New Roman" w:hAnsi="Times New Roman" w:cs="Times New Roman"/>
            <w:color w:val="A67942"/>
            <w:sz w:val="28"/>
            <w:szCs w:val="28"/>
            <w:u w:val="single"/>
          </w:rPr>
          <w:t>Điều 44 Luật Doanh nghiệp 2014</w:t>
        </w:r>
      </w:hyperlink>
      <w:r w:rsidRPr="00F8407E">
        <w:rPr>
          <w:rFonts w:ascii="Times New Roman" w:eastAsia="Times New Roman" w:hAnsi="Times New Roman" w:cs="Times New Roman"/>
          <w:color w:val="222222"/>
          <w:sz w:val="28"/>
          <w:szCs w:val="28"/>
        </w:rPr>
        <w:t>, trước khi sử dụng, doanh nghiệp có nghĩa vụ thông báo mẫu con dấu với cơ quan đăng ký kinh doanh để đăng tải công khai trên Cổng thông tin quốc gia về đăng ký doanh nghiệp.</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Tuy nhiên, từ 01/01/2021 - ngày </w:t>
      </w:r>
      <w:hyperlink r:id="rId8" w:history="1">
        <w:r w:rsidRPr="00F8407E">
          <w:rPr>
            <w:rFonts w:ascii="Times New Roman" w:eastAsia="Times New Roman" w:hAnsi="Times New Roman" w:cs="Times New Roman"/>
            <w:color w:val="A67942"/>
            <w:sz w:val="28"/>
            <w:szCs w:val="28"/>
            <w:u w:val="single"/>
          </w:rPr>
          <w:t>Luật Doanh nghiệp năm 2020</w:t>
        </w:r>
      </w:hyperlink>
      <w:r w:rsidRPr="00F8407E">
        <w:rPr>
          <w:rFonts w:ascii="Times New Roman" w:eastAsia="Times New Roman" w:hAnsi="Times New Roman" w:cs="Times New Roman"/>
          <w:color w:val="222222"/>
          <w:sz w:val="28"/>
          <w:szCs w:val="28"/>
        </w:rPr>
        <w:t> có hiệu lực, </w:t>
      </w:r>
      <w:r w:rsidRPr="00F8407E">
        <w:rPr>
          <w:rFonts w:ascii="Times New Roman" w:eastAsia="Times New Roman" w:hAnsi="Times New Roman" w:cs="Times New Roman"/>
          <w:b/>
          <w:bCs/>
          <w:color w:val="222222"/>
          <w:sz w:val="28"/>
          <w:szCs w:val="28"/>
        </w:rPr>
        <w:t>không quy định doanh nghiệp phải thông báo mẫu dấu với cơ quan đăng ký kinh doanh.</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Ngoài ra, trong Luật mới này còn một số thay đổi liên quan đến con dấu của doanh nghiệp như:</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 Ghi nhận dấu của doanh nghiệp dưới 02 hình thức là dấu được làm tại cơ sở khắc dấu và dấu dưới hình thức chữ ký số theo quy định của pháp luật về giao dịch điện tử.</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 Doanh nghiệp được quyền tự quyết với con dấu…</w:t>
      </w:r>
      <w:r w:rsidRPr="00F8407E">
        <w:rPr>
          <w:rFonts w:ascii="Times New Roman" w:eastAsia="Times New Roman" w:hAnsi="Times New Roman" w:cs="Times New Roman"/>
          <w:b/>
          <w:bCs/>
          <w:color w:val="222222"/>
          <w:sz w:val="28"/>
          <w:szCs w:val="28"/>
        </w:rPr>
        <w:br/>
      </w:r>
      <w:r>
        <w:rPr>
          <w:rFonts w:ascii="Times New Roman" w:eastAsia="Times New Roman" w:hAnsi="Times New Roman" w:cs="Times New Roman"/>
          <w:b/>
          <w:bCs/>
          <w:color w:val="222222"/>
          <w:sz w:val="28"/>
          <w:szCs w:val="28"/>
        </w:rPr>
        <w:t xml:space="preserve">4 </w:t>
      </w:r>
      <w:r w:rsidRPr="00F8407E">
        <w:rPr>
          <w:rFonts w:ascii="Times New Roman" w:eastAsia="Times New Roman" w:hAnsi="Times New Roman" w:cs="Times New Roman"/>
          <w:b/>
          <w:bCs/>
          <w:color w:val="222222"/>
          <w:sz w:val="28"/>
          <w:szCs w:val="28"/>
        </w:rPr>
        <w:t>. Trường hợp công khai thông tin đăng ký thuế từ 17/01/2021</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Thông tư </w:t>
      </w:r>
      <w:hyperlink r:id="rId9" w:history="1">
        <w:r w:rsidRPr="00F8407E">
          <w:rPr>
            <w:rFonts w:ascii="Times New Roman" w:eastAsia="Times New Roman" w:hAnsi="Times New Roman" w:cs="Times New Roman"/>
            <w:color w:val="A67942"/>
            <w:sz w:val="28"/>
            <w:szCs w:val="28"/>
            <w:u w:val="single"/>
          </w:rPr>
          <w:t>105/2020/TT-BTC</w:t>
        </w:r>
      </w:hyperlink>
      <w:r w:rsidRPr="00F8407E">
        <w:rPr>
          <w:rFonts w:ascii="Times New Roman" w:eastAsia="Times New Roman" w:hAnsi="Times New Roman" w:cs="Times New Roman"/>
          <w:color w:val="222222"/>
          <w:sz w:val="28"/>
          <w:szCs w:val="28"/>
        </w:rPr>
        <w:t> do Bộ Tài chính ban hành đã bổ sung 02 trường hợp công khai thông tin đăng ký thuế của người nộp thuế, cụ thể:</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 Người nộp thuế tạm ngừng hoạt động, kinh doanh.</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lastRenderedPageBreak/>
        <w:t>- Người nộp thuế có vi phạm pháp luật về đăng ký thuế.</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Bên cạnh đó, Thông tư 105/2020 vẫn giữ các trường hợp ở Thông tư </w:t>
      </w:r>
      <w:hyperlink r:id="rId10" w:history="1">
        <w:r w:rsidRPr="00F8407E">
          <w:rPr>
            <w:rFonts w:ascii="Times New Roman" w:eastAsia="Times New Roman" w:hAnsi="Times New Roman" w:cs="Times New Roman"/>
            <w:color w:val="A67942"/>
            <w:sz w:val="28"/>
            <w:szCs w:val="28"/>
            <w:u w:val="single"/>
          </w:rPr>
          <w:t>95/2016/TT-BTC</w:t>
        </w:r>
      </w:hyperlink>
      <w:r w:rsidRPr="00F8407E">
        <w:rPr>
          <w:rFonts w:ascii="Times New Roman" w:eastAsia="Times New Roman" w:hAnsi="Times New Roman" w:cs="Times New Roman"/>
          <w:color w:val="222222"/>
          <w:sz w:val="28"/>
          <w:szCs w:val="28"/>
        </w:rPr>
        <w:t> như: Người nộp thuế ngừng hoạt động, đã hoàn thành  hoặc chưa hoàn thành thủ tục chấm dứt hiệu lực mã số thuế; Người nộp thuế không hoạt</w:t>
      </w:r>
      <w:r>
        <w:rPr>
          <w:rFonts w:ascii="Times New Roman" w:eastAsia="Times New Roman" w:hAnsi="Times New Roman" w:cs="Times New Roman"/>
          <w:color w:val="222222"/>
          <w:sz w:val="28"/>
          <w:szCs w:val="28"/>
        </w:rPr>
        <w:t xml:space="preserve"> động tại địa chỉ đã đăng ký...</w:t>
      </w:r>
      <w:r w:rsidRPr="00F8407E">
        <w:rPr>
          <w:rFonts w:ascii="Times New Roman" w:eastAsia="Times New Roman" w:hAnsi="Times New Roman" w:cs="Times New Roman"/>
          <w:color w:val="222222"/>
          <w:sz w:val="28"/>
          <w:szCs w:val="28"/>
        </w:rPr>
        <w:br/>
        <w:t>Thông tư này có hiệu lực từ ngày 17/01/2021.</w:t>
      </w:r>
      <w:r w:rsidRPr="00F8407E">
        <w:rPr>
          <w:rFonts w:ascii="Times New Roman" w:eastAsia="Times New Roman" w:hAnsi="Times New Roman" w:cs="Times New Roman"/>
          <w:b/>
          <w:bCs/>
          <w:color w:val="222222"/>
          <w:sz w:val="28"/>
          <w:szCs w:val="28"/>
        </w:rPr>
        <w:br/>
      </w:r>
      <w:r>
        <w:rPr>
          <w:rFonts w:ascii="Times New Roman" w:eastAsia="Times New Roman" w:hAnsi="Times New Roman" w:cs="Times New Roman"/>
          <w:b/>
          <w:bCs/>
          <w:color w:val="222222"/>
          <w:sz w:val="28"/>
          <w:szCs w:val="28"/>
        </w:rPr>
        <w:t>5</w:t>
      </w:r>
      <w:r w:rsidRPr="00F8407E">
        <w:rPr>
          <w:rFonts w:ascii="Times New Roman" w:eastAsia="Times New Roman" w:hAnsi="Times New Roman" w:cs="Times New Roman"/>
          <w:b/>
          <w:bCs/>
          <w:color w:val="222222"/>
          <w:sz w:val="28"/>
          <w:szCs w:val="28"/>
        </w:rPr>
        <w:t>. Dịch vụ đòi nợ thuê chính thức bị nghiêm cấm</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Theo </w:t>
      </w:r>
      <w:hyperlink r:id="rId11" w:history="1">
        <w:r w:rsidRPr="00F8407E">
          <w:rPr>
            <w:rFonts w:ascii="Times New Roman" w:eastAsia="Times New Roman" w:hAnsi="Times New Roman" w:cs="Times New Roman"/>
            <w:color w:val="A67942"/>
            <w:sz w:val="28"/>
            <w:szCs w:val="28"/>
            <w:u w:val="single"/>
          </w:rPr>
          <w:t>Điều 6 Luật Đầu tư 2020</w:t>
        </w:r>
      </w:hyperlink>
      <w:r w:rsidRPr="00F8407E">
        <w:rPr>
          <w:rFonts w:ascii="Times New Roman" w:eastAsia="Times New Roman" w:hAnsi="Times New Roman" w:cs="Times New Roman"/>
          <w:color w:val="222222"/>
          <w:sz w:val="28"/>
          <w:szCs w:val="28"/>
        </w:rPr>
        <w:t>, cấm các hoạt động đầu tư kinh doanh sau đây:</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 Kinh doanh dịch vụ đòi nợ (quy định mới)…</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 Mua, bán người, mô, xác, bộ phận cơ thể người, bào thai người (bổ sung việc cấm mua, bán xác, bào thai người).</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 Hoạt động kinh doanh liên quan đến sinh sản vô tính trên người.</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 Kinh doanh pháo nổ.</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Trong đó, </w:t>
      </w:r>
      <w:r w:rsidRPr="00F8407E">
        <w:rPr>
          <w:rFonts w:ascii="Times New Roman" w:eastAsia="Times New Roman" w:hAnsi="Times New Roman" w:cs="Times New Roman"/>
          <w:b/>
          <w:bCs/>
          <w:color w:val="222222"/>
          <w:sz w:val="28"/>
          <w:szCs w:val="28"/>
        </w:rPr>
        <w:t>cấm kinh doanh dịch vụ đòi nợ thuê là một quy định mới</w:t>
      </w:r>
      <w:r w:rsidRPr="00F8407E">
        <w:rPr>
          <w:rFonts w:ascii="Times New Roman" w:eastAsia="Times New Roman" w:hAnsi="Times New Roman" w:cs="Times New Roman"/>
          <w:color w:val="222222"/>
          <w:sz w:val="28"/>
          <w:szCs w:val="28"/>
        </w:rPr>
        <w:t>. Như vậy, từ 01/01/2021, khi Luật Đầu tư 2021 có hiệu lực, dịch vụ đòi nợ chính thức bị khai tử.</w:t>
      </w:r>
      <w:r w:rsidRPr="00F8407E">
        <w:rPr>
          <w:rFonts w:ascii="Times New Roman" w:eastAsia="Times New Roman" w:hAnsi="Times New Roman" w:cs="Times New Roman"/>
          <w:b/>
          <w:bCs/>
          <w:color w:val="222222"/>
          <w:sz w:val="28"/>
          <w:szCs w:val="28"/>
        </w:rPr>
        <w:br/>
      </w:r>
      <w:r>
        <w:rPr>
          <w:rFonts w:ascii="Times New Roman" w:eastAsia="Times New Roman" w:hAnsi="Times New Roman" w:cs="Times New Roman"/>
          <w:b/>
          <w:bCs/>
          <w:color w:val="222222"/>
          <w:sz w:val="28"/>
          <w:szCs w:val="28"/>
        </w:rPr>
        <w:t>6</w:t>
      </w:r>
      <w:r w:rsidRPr="00F8407E">
        <w:rPr>
          <w:rFonts w:ascii="Times New Roman" w:eastAsia="Times New Roman" w:hAnsi="Times New Roman" w:cs="Times New Roman"/>
          <w:b/>
          <w:bCs/>
          <w:color w:val="222222"/>
          <w:sz w:val="28"/>
          <w:szCs w:val="28"/>
        </w:rPr>
        <w:t>. Không phải lắp bình chữa cháy trên ô tô 4 chỗ ngồi</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Theo Điều 8 Nghị định </w:t>
      </w:r>
      <w:hyperlink r:id="rId12" w:history="1">
        <w:r w:rsidRPr="00F8407E">
          <w:rPr>
            <w:rFonts w:ascii="Times New Roman" w:eastAsia="Times New Roman" w:hAnsi="Times New Roman" w:cs="Times New Roman"/>
            <w:color w:val="A67942"/>
            <w:sz w:val="28"/>
            <w:szCs w:val="28"/>
            <w:u w:val="single"/>
          </w:rPr>
          <w:t>136/2020/NĐ-CP</w:t>
        </w:r>
      </w:hyperlink>
      <w:r w:rsidRPr="00F8407E">
        <w:rPr>
          <w:rFonts w:ascii="Times New Roman" w:eastAsia="Times New Roman" w:hAnsi="Times New Roman" w:cs="Times New Roman"/>
          <w:color w:val="222222"/>
          <w:sz w:val="28"/>
          <w:szCs w:val="28"/>
        </w:rPr>
        <w:t> , ô tô từ 04 chỗ ngồi trở lên đến 09 chỗ ngồi chỉ cần đáp ứng các điều kiện về an toàn phòng cháy, chữa cháy như sau:</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 Đảm bảo điều kiện hoạt động đã được kiểm định.</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 Vật tư, hàng hóa bố trí, sắp xếp trên phương tiện phải bảo đảm an toàn phòng cháy và chữa cháy.</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Nghị định này đã </w:t>
      </w:r>
      <w:r w:rsidRPr="00F8407E">
        <w:rPr>
          <w:rFonts w:ascii="Times New Roman" w:eastAsia="Times New Roman" w:hAnsi="Times New Roman" w:cs="Times New Roman"/>
          <w:b/>
          <w:bCs/>
          <w:color w:val="222222"/>
          <w:sz w:val="28"/>
          <w:szCs w:val="28"/>
        </w:rPr>
        <w:t>bỏ quy định phải có bình chữa cháy trên ô tô từ 04 chỗ đến 09 chỗ ngồi</w:t>
      </w:r>
      <w:r w:rsidRPr="00F8407E">
        <w:rPr>
          <w:rFonts w:ascii="Times New Roman" w:eastAsia="Times New Roman" w:hAnsi="Times New Roman" w:cs="Times New Roman"/>
          <w:color w:val="222222"/>
          <w:sz w:val="28"/>
          <w:szCs w:val="28"/>
        </w:rPr>
        <w:t>.</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Nghị định 136/2020 có hiệu lực kể từ ngày 10/01/2021.</w:t>
      </w:r>
      <w:r w:rsidRPr="00F8407E">
        <w:rPr>
          <w:rFonts w:ascii="Times New Roman" w:eastAsia="Times New Roman" w:hAnsi="Times New Roman" w:cs="Times New Roman"/>
          <w:b/>
          <w:bCs/>
          <w:color w:val="222222"/>
          <w:sz w:val="28"/>
          <w:szCs w:val="28"/>
        </w:rPr>
        <w:br/>
      </w:r>
      <w:r>
        <w:rPr>
          <w:rFonts w:ascii="Times New Roman" w:eastAsia="Times New Roman" w:hAnsi="Times New Roman" w:cs="Times New Roman"/>
          <w:b/>
          <w:bCs/>
          <w:color w:val="222222"/>
          <w:sz w:val="28"/>
          <w:szCs w:val="28"/>
        </w:rPr>
        <w:t>7</w:t>
      </w:r>
      <w:bookmarkStart w:id="0" w:name="_GoBack"/>
      <w:bookmarkEnd w:id="0"/>
      <w:r w:rsidRPr="00F8407E">
        <w:rPr>
          <w:rFonts w:ascii="Times New Roman" w:eastAsia="Times New Roman" w:hAnsi="Times New Roman" w:cs="Times New Roman"/>
          <w:b/>
          <w:bCs/>
          <w:color w:val="222222"/>
          <w:sz w:val="28"/>
          <w:szCs w:val="28"/>
        </w:rPr>
        <w:t>. Kéo dài thời hạn miễn thuế sử dụng đất nông nghiệp đến hết 2025</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Quốc hội đã thông qua Nghị quyết </w:t>
      </w:r>
      <w:hyperlink r:id="rId13" w:history="1">
        <w:r w:rsidRPr="00F8407E">
          <w:rPr>
            <w:rFonts w:ascii="Times New Roman" w:eastAsia="Times New Roman" w:hAnsi="Times New Roman" w:cs="Times New Roman"/>
            <w:color w:val="A67942"/>
            <w:sz w:val="28"/>
            <w:szCs w:val="28"/>
            <w:u w:val="single"/>
          </w:rPr>
          <w:t>107/2020/QH14</w:t>
        </w:r>
      </w:hyperlink>
      <w:r w:rsidRPr="00F8407E">
        <w:rPr>
          <w:rFonts w:ascii="Times New Roman" w:eastAsia="Times New Roman" w:hAnsi="Times New Roman" w:cs="Times New Roman"/>
          <w:color w:val="222222"/>
          <w:sz w:val="28"/>
          <w:szCs w:val="28"/>
        </w:rPr>
        <w:t> về việc kéo dài thời hạn miễn thuế sử dụng đất nông nghiệp được quy định tại Nghị quyết 55/2010/QH12.</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Theo đó, </w:t>
      </w:r>
      <w:r w:rsidRPr="00F8407E">
        <w:rPr>
          <w:rFonts w:ascii="Times New Roman" w:eastAsia="Times New Roman" w:hAnsi="Times New Roman" w:cs="Times New Roman"/>
          <w:b/>
          <w:bCs/>
          <w:color w:val="222222"/>
          <w:sz w:val="28"/>
          <w:szCs w:val="28"/>
        </w:rPr>
        <w:t>kéo dài thời hạn miễn thuế sử dụng đất nông nghiệp</w:t>
      </w:r>
      <w:r w:rsidRPr="00F8407E">
        <w:rPr>
          <w:rFonts w:ascii="Times New Roman" w:eastAsia="Times New Roman" w:hAnsi="Times New Roman" w:cs="Times New Roman"/>
          <w:color w:val="222222"/>
          <w:sz w:val="28"/>
          <w:szCs w:val="28"/>
        </w:rPr>
        <w:t> được quy định tại Nghị quyết </w:t>
      </w:r>
      <w:hyperlink r:id="rId14" w:history="1">
        <w:r w:rsidRPr="00F8407E">
          <w:rPr>
            <w:rFonts w:ascii="Times New Roman" w:eastAsia="Times New Roman" w:hAnsi="Times New Roman" w:cs="Times New Roman"/>
            <w:color w:val="A67942"/>
            <w:sz w:val="28"/>
            <w:szCs w:val="28"/>
            <w:u w:val="single"/>
          </w:rPr>
          <w:t>55/2010/QH12</w:t>
        </w:r>
      </w:hyperlink>
      <w:r w:rsidRPr="00F8407E">
        <w:rPr>
          <w:rFonts w:ascii="Times New Roman" w:eastAsia="Times New Roman" w:hAnsi="Times New Roman" w:cs="Times New Roman"/>
          <w:color w:val="222222"/>
          <w:sz w:val="28"/>
          <w:szCs w:val="28"/>
        </w:rPr>
        <w:t> về miễn, giảm thuế sử dụng đất nông nghiệp (sửa đổi, bổ sung một số điều theo Nghị quyết </w:t>
      </w:r>
      <w:hyperlink r:id="rId15" w:history="1">
        <w:r w:rsidRPr="00F8407E">
          <w:rPr>
            <w:rFonts w:ascii="Times New Roman" w:eastAsia="Times New Roman" w:hAnsi="Times New Roman" w:cs="Times New Roman"/>
            <w:color w:val="A67942"/>
            <w:sz w:val="28"/>
            <w:szCs w:val="28"/>
            <w:u w:val="single"/>
          </w:rPr>
          <w:t>28/2016/QH14</w:t>
        </w:r>
      </w:hyperlink>
      <w:r w:rsidRPr="00F8407E">
        <w:rPr>
          <w:rFonts w:ascii="Times New Roman" w:eastAsia="Times New Roman" w:hAnsi="Times New Roman" w:cs="Times New Roman"/>
          <w:color w:val="222222"/>
          <w:sz w:val="28"/>
          <w:szCs w:val="28"/>
        </w:rPr>
        <w:t>) </w:t>
      </w:r>
      <w:r w:rsidRPr="00F8407E">
        <w:rPr>
          <w:rFonts w:ascii="Times New Roman" w:eastAsia="Times New Roman" w:hAnsi="Times New Roman" w:cs="Times New Roman"/>
          <w:b/>
          <w:bCs/>
          <w:color w:val="222222"/>
          <w:sz w:val="28"/>
          <w:szCs w:val="28"/>
        </w:rPr>
        <w:t>đến hết ngày 31/12/2025, </w:t>
      </w:r>
      <w:r w:rsidRPr="00F8407E">
        <w:rPr>
          <w:rFonts w:ascii="Times New Roman" w:eastAsia="Times New Roman" w:hAnsi="Times New Roman" w:cs="Times New Roman"/>
          <w:color w:val="222222"/>
          <w:sz w:val="28"/>
          <w:szCs w:val="28"/>
        </w:rPr>
        <w:t>thay vì đến ngày 31/12/2020 như trước.</w:t>
      </w:r>
    </w:p>
    <w:p w:rsidR="00F8407E" w:rsidRPr="00F8407E" w:rsidRDefault="00F8407E" w:rsidP="00F8407E">
      <w:pPr>
        <w:shd w:val="clear" w:color="auto" w:fill="FFFFFF"/>
        <w:spacing w:before="0" w:after="0" w:line="240" w:lineRule="auto"/>
        <w:ind w:firstLine="0"/>
        <w:jc w:val="left"/>
        <w:rPr>
          <w:rFonts w:ascii="Times New Roman" w:eastAsia="Times New Roman" w:hAnsi="Times New Roman" w:cs="Times New Roman"/>
          <w:color w:val="222222"/>
          <w:sz w:val="28"/>
          <w:szCs w:val="28"/>
        </w:rPr>
      </w:pPr>
      <w:r w:rsidRPr="00F8407E">
        <w:rPr>
          <w:rFonts w:ascii="Times New Roman" w:eastAsia="Times New Roman" w:hAnsi="Times New Roman" w:cs="Times New Roman"/>
          <w:color w:val="222222"/>
          <w:sz w:val="28"/>
          <w:szCs w:val="28"/>
        </w:rPr>
        <w:t>Nghị quyết này có hiệu lực từ ngày 01/01/2021.</w:t>
      </w:r>
    </w:p>
    <w:p w:rsidR="00DF4F9B" w:rsidRPr="00F8407E" w:rsidRDefault="00F8407E">
      <w:pPr>
        <w:rPr>
          <w:rFonts w:ascii="Times New Roman" w:hAnsi="Times New Roman" w:cs="Times New Roman"/>
          <w:sz w:val="28"/>
          <w:szCs w:val="28"/>
        </w:rPr>
      </w:pPr>
    </w:p>
    <w:sectPr w:rsidR="00DF4F9B" w:rsidRPr="00F8407E" w:rsidSect="00696450">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7E"/>
    <w:rsid w:val="00166BF1"/>
    <w:rsid w:val="00696450"/>
    <w:rsid w:val="0094409D"/>
    <w:rsid w:val="00D954C4"/>
    <w:rsid w:val="00F8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407E"/>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07E"/>
    <w:rPr>
      <w:rFonts w:ascii="Times New Roman" w:eastAsia="Times New Roman" w:hAnsi="Times New Roman" w:cs="Times New Roman"/>
      <w:b/>
      <w:bCs/>
      <w:sz w:val="36"/>
      <w:szCs w:val="36"/>
    </w:rPr>
  </w:style>
  <w:style w:type="character" w:styleId="Strong">
    <w:name w:val="Strong"/>
    <w:basedOn w:val="DefaultParagraphFont"/>
    <w:uiPriority w:val="22"/>
    <w:qFormat/>
    <w:rsid w:val="00F8407E"/>
    <w:rPr>
      <w:b/>
      <w:bCs/>
    </w:rPr>
  </w:style>
  <w:style w:type="paragraph" w:styleId="NormalWeb">
    <w:name w:val="Normal (Web)"/>
    <w:basedOn w:val="Normal"/>
    <w:uiPriority w:val="99"/>
    <w:semiHidden/>
    <w:unhideWhenUsed/>
    <w:rsid w:val="00F8407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407E"/>
    <w:rPr>
      <w:color w:val="0000FF"/>
      <w:u w:val="single"/>
    </w:rPr>
  </w:style>
  <w:style w:type="character" w:styleId="Emphasis">
    <w:name w:val="Emphasis"/>
    <w:basedOn w:val="DefaultParagraphFont"/>
    <w:uiPriority w:val="20"/>
    <w:qFormat/>
    <w:rsid w:val="00F840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407E"/>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07E"/>
    <w:rPr>
      <w:rFonts w:ascii="Times New Roman" w:eastAsia="Times New Roman" w:hAnsi="Times New Roman" w:cs="Times New Roman"/>
      <w:b/>
      <w:bCs/>
      <w:sz w:val="36"/>
      <w:szCs w:val="36"/>
    </w:rPr>
  </w:style>
  <w:style w:type="character" w:styleId="Strong">
    <w:name w:val="Strong"/>
    <w:basedOn w:val="DefaultParagraphFont"/>
    <w:uiPriority w:val="22"/>
    <w:qFormat/>
    <w:rsid w:val="00F8407E"/>
    <w:rPr>
      <w:b/>
      <w:bCs/>
    </w:rPr>
  </w:style>
  <w:style w:type="paragraph" w:styleId="NormalWeb">
    <w:name w:val="Normal (Web)"/>
    <w:basedOn w:val="Normal"/>
    <w:uiPriority w:val="99"/>
    <w:semiHidden/>
    <w:unhideWhenUsed/>
    <w:rsid w:val="00F8407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407E"/>
    <w:rPr>
      <w:color w:val="0000FF"/>
      <w:u w:val="single"/>
    </w:rPr>
  </w:style>
  <w:style w:type="character" w:styleId="Emphasis">
    <w:name w:val="Emphasis"/>
    <w:basedOn w:val="DefaultParagraphFont"/>
    <w:uiPriority w:val="20"/>
    <w:qFormat/>
    <w:rsid w:val="00F840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oanh-nghiep/luat-doanh-nghiep-2020-186272-d1.html" TargetMode="External"/><Relationship Id="rId13" Type="http://schemas.openxmlformats.org/officeDocument/2006/relationships/hyperlink" Target="https://luatvietnam.vn/thue/nghi-quyet-107-2020-qh14-keo-dai-thoi-han-mien-thue-su-dung-dat-nong-nghiep-185793-d1.html"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luatvietnam.vn/doanh-nghiep/luat-doanh-nghiep-2014-91359-d1.html" TargetMode="External"/><Relationship Id="rId12" Type="http://schemas.openxmlformats.org/officeDocument/2006/relationships/hyperlink" Target="https://luatvietnam.vn/an-ninh-trat-tu/nghi-dinh-136-2020-nd-cp-quy-dinh-chi-tiet-luat-phong-chay-va-chua-chay-194624-d1.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luatvietnam.vn/xay-dung/luat-xay-dung-sua-doi-nam-2020-186269-d1.html" TargetMode="External"/><Relationship Id="rId11" Type="http://schemas.openxmlformats.org/officeDocument/2006/relationships/hyperlink" Target="https://luatvietnam.vn/dau-tu/luat-dau-tu-2020-186270-d1.html" TargetMode="External"/><Relationship Id="rId5" Type="http://schemas.openxmlformats.org/officeDocument/2006/relationships/hyperlink" Target="https://luatvietnam.vn/lao-dong/bo-luat-lao-dong-2019-179015-d1.html" TargetMode="External"/><Relationship Id="rId15" Type="http://schemas.openxmlformats.org/officeDocument/2006/relationships/hyperlink" Target="https://luatvietnam.vn/thue/nghi-quyet-28-2016-qh14-quoc-hoi-110861-d1.html" TargetMode="External"/><Relationship Id="rId10" Type="http://schemas.openxmlformats.org/officeDocument/2006/relationships/hyperlink" Target="https://luatvietnam.vn/thue/thong-tu-95-2016-tt-btc-bo-tai-chinh-107227-d1.html"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luatvietnam.vn/thue/thong-tu-105-2020-tt-btc-huong-dan-ve-dang-ky-thue-195630-d1.htmlhttps:/cms.luatvietnam.vn/admin/Pages/lawsdocs/DocsEdit.aspx?DocId=195630&amp;LanguageId=1" TargetMode="External"/><Relationship Id="rId14" Type="http://schemas.openxmlformats.org/officeDocument/2006/relationships/hyperlink" Target="https://luatvietnam.vn/dat-dai/nghi-quyet-55-2010-qh12-quoc-hoi-57645-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E7177-F2E4-4971-BE91-9D3D46CF33AA}"/>
</file>

<file path=customXml/itemProps2.xml><?xml version="1.0" encoding="utf-8"?>
<ds:datastoreItem xmlns:ds="http://schemas.openxmlformats.org/officeDocument/2006/customXml" ds:itemID="{96983722-C825-4201-86A5-45558AA72059}"/>
</file>

<file path=customXml/itemProps3.xml><?xml version="1.0" encoding="utf-8"?>
<ds:datastoreItem xmlns:ds="http://schemas.openxmlformats.org/officeDocument/2006/customXml" ds:itemID="{5F3871A4-3CAE-4DED-8FBD-485A62FC9833}"/>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2021-04-10T02:10:00Z</dcterms:created>
  <dcterms:modified xsi:type="dcterms:W3CDTF">2021-04-10T02:13:00Z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